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71"/>
        <w:gridCol w:w="117"/>
      </w:tblGrid>
      <w:tr w:rsidR="00312690" w:rsidTr="00312690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312690" w:rsidRDefault="00312690">
            <w:p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</w:tr>
      <w:tr w:rsidR="00312690" w:rsidTr="00312690">
        <w:trPr>
          <w:tblCellSpacing w:w="7" w:type="dxa"/>
        </w:trPr>
        <w:tc>
          <w:tcPr>
            <w:tcW w:w="5829" w:type="dxa"/>
            <w:vAlign w:val="center"/>
            <w:hideMark/>
          </w:tcPr>
          <w:p w:rsidR="00312690" w:rsidRDefault="00312690">
            <w:pPr>
              <w:pStyle w:val="NormalWeb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Here is what I got from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the  WRDS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help desk in response to “How do I get Net Asset Values for CEF?” </w:t>
            </w:r>
          </w:p>
          <w:p w:rsidR="00312690" w:rsidRDefault="00312690">
            <w:pPr>
              <w:pStyle w:val="NormalWeb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So far I don’t know if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we  can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get daily NAVs.</w:t>
            </w:r>
          </w:p>
          <w:p w:rsidR="00312690" w:rsidRDefault="00312690">
            <w:pPr>
              <w:pStyle w:val="NormalWeb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Look for new posts.</w:t>
            </w:r>
          </w:p>
          <w:p w:rsidR="00312690" w:rsidRDefault="00312690">
            <w:pPr>
              <w:pStyle w:val="NormalWeb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---------------------------------------------------------------</w:t>
            </w:r>
          </w:p>
          <w:p w:rsidR="00312690" w:rsidRDefault="00312690">
            <w:pPr>
              <w:pStyle w:val="NormalWeb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It is available in the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compustat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security monthly file. The variable is NAVM.</w:t>
            </w:r>
          </w:p>
          <w:p w:rsidR="00312690" w:rsidRDefault="00312690">
            <w:pPr>
              <w:pStyle w:val="NormalWeb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4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http://wrds1.wharton.upenn.edu/ds/comp/secm/</w:t>
              </w:r>
            </w:hyperlink>
          </w:p>
          <w:p w:rsidR="00312690" w:rsidRDefault="00312690">
            <w:pPr>
              <w:pStyle w:val="NormalWeb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From the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Compustat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Manual: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Net Asset Value</w:t>
            </w:r>
          </w:p>
          <w:tbl>
            <w:tblPr>
              <w:tblW w:w="576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440"/>
              <w:gridCol w:w="1440"/>
              <w:gridCol w:w="1440"/>
              <w:gridCol w:w="1440"/>
            </w:tblGrid>
            <w:tr w:rsidR="00312690">
              <w:tc>
                <w:tcPr>
                  <w:tcW w:w="1440" w:type="dxa"/>
                  <w:shd w:val="clear" w:color="auto" w:fill="D8D3C9"/>
                  <w:hideMark/>
                </w:tcPr>
                <w:p w:rsidR="00312690" w:rsidRDefault="00312690">
                  <w:pPr>
                    <w:pStyle w:val="NormalWeb"/>
                    <w:spacing w:line="276" w:lineRule="auto"/>
                  </w:pPr>
                  <w:r>
                    <w:t>Mnemonic</w:t>
                  </w:r>
                </w:p>
              </w:tc>
              <w:tc>
                <w:tcPr>
                  <w:tcW w:w="1440" w:type="dxa"/>
                  <w:shd w:val="clear" w:color="auto" w:fill="D8D3C9"/>
                  <w:hideMark/>
                </w:tcPr>
                <w:p w:rsidR="00312690" w:rsidRDefault="00312690">
                  <w:pPr>
                    <w:pStyle w:val="NormalWeb"/>
                    <w:spacing w:line="276" w:lineRule="auto"/>
                  </w:pPr>
                  <w:r>
                    <w:t>Periodicity</w:t>
                  </w:r>
                </w:p>
              </w:tc>
              <w:tc>
                <w:tcPr>
                  <w:tcW w:w="1440" w:type="dxa"/>
                  <w:shd w:val="clear" w:color="auto" w:fill="D8D3C9"/>
                  <w:hideMark/>
                </w:tcPr>
                <w:p w:rsidR="00312690" w:rsidRDefault="00312690">
                  <w:pPr>
                    <w:pStyle w:val="NormalWeb"/>
                    <w:spacing w:line="276" w:lineRule="auto"/>
                  </w:pPr>
                  <w:r>
                    <w:t>Format</w:t>
                  </w:r>
                </w:p>
              </w:tc>
              <w:tc>
                <w:tcPr>
                  <w:tcW w:w="1440" w:type="dxa"/>
                  <w:shd w:val="clear" w:color="auto" w:fill="D8D3C9"/>
                  <w:hideMark/>
                </w:tcPr>
                <w:p w:rsidR="00312690" w:rsidRDefault="00312690">
                  <w:pPr>
                    <w:pStyle w:val="NormalWeb"/>
                    <w:spacing w:line="276" w:lineRule="auto"/>
                  </w:pPr>
                  <w:r>
                    <w:t>Units</w:t>
                  </w:r>
                </w:p>
              </w:tc>
            </w:tr>
            <w:tr w:rsidR="00312690">
              <w:tc>
                <w:tcPr>
                  <w:tcW w:w="1440" w:type="dxa"/>
                  <w:hideMark/>
                </w:tcPr>
                <w:p w:rsidR="00312690" w:rsidRDefault="00312690">
                  <w:pPr>
                    <w:pStyle w:val="NormalWeb"/>
                    <w:spacing w:line="276" w:lineRule="auto"/>
                  </w:pPr>
                  <w:r>
                    <w:t>NAVM</w:t>
                  </w:r>
                </w:p>
              </w:tc>
              <w:tc>
                <w:tcPr>
                  <w:tcW w:w="1440" w:type="dxa"/>
                  <w:hideMark/>
                </w:tcPr>
                <w:p w:rsidR="00312690" w:rsidRDefault="00312690">
                  <w:pPr>
                    <w:pStyle w:val="NormalWeb"/>
                    <w:spacing w:line="276" w:lineRule="auto"/>
                  </w:pPr>
                  <w:r>
                    <w:t>Monthly</w:t>
                  </w:r>
                </w:p>
              </w:tc>
              <w:tc>
                <w:tcPr>
                  <w:tcW w:w="1440" w:type="dxa"/>
                  <w:hideMark/>
                </w:tcPr>
                <w:p w:rsidR="00312690" w:rsidRDefault="00312690">
                  <w:pPr>
                    <w:pStyle w:val="NormalWeb"/>
                    <w:spacing w:line="276" w:lineRule="auto"/>
                  </w:pPr>
                  <w:r>
                    <w:t>Number</w:t>
                  </w:r>
                </w:p>
              </w:tc>
              <w:tc>
                <w:tcPr>
                  <w:tcW w:w="1440" w:type="dxa"/>
                  <w:hideMark/>
                </w:tcPr>
                <w:p w:rsidR="00312690" w:rsidRDefault="00312690">
                  <w:pPr>
                    <w:pStyle w:val="NormalWeb"/>
                    <w:spacing w:line="276" w:lineRule="auto"/>
                  </w:pPr>
                  <w:r>
                    <w:t>Dollars and cents</w:t>
                  </w:r>
                </w:p>
              </w:tc>
            </w:tr>
          </w:tbl>
          <w:p w:rsidR="00312690" w:rsidRDefault="00312690">
            <w:pPr>
              <w:pStyle w:val="NormalWeb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This item applies to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00"/>
              </w:rPr>
              <w:t>closed-end funds only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 It is the market value of the fund's assets minus liabilities divided by the basic shares outstanding. This is a monthly item. The value recorded is that of the last Friday's close.</w:t>
            </w:r>
          </w:p>
          <w:p w:rsidR="00312690" w:rsidRDefault="00312690">
            <w:pPr>
              <w:pStyle w:val="NormalWeb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For example, this is the data for Adams Express:</w:t>
            </w:r>
          </w:p>
          <w:p w:rsidR="00312690" w:rsidRDefault="00312690">
            <w:pPr>
              <w:pStyle w:val="NormalWeb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gvkey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    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iid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   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datadate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    sic    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conm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                              tic                        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navm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001119    01     20070131    6726    ADAMS EXPRESS                     ADX                      16.0600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001119    01     20070228    6726    ADAMS EXPRESS                     ADX                      15.9300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001119    01     20070331    6726    ADAMS EXPRESS                     ADX                      16.1000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001119    01     20070430    6726    ADAMS EXPRESS                     ADX                      16.7300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001119    01     20070531    6726    ADAMS EXPRESS                     ADX                      17.0500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001119    01     20070630    6726    ADAMS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EXPRESS                     ADX                      17.0600</w:t>
            </w:r>
          </w:p>
          <w:p w:rsidR="00312690" w:rsidRDefault="00312690">
            <w:pPr>
              <w:pStyle w:val="NormalWeb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Regards, WRDS-support</w:t>
            </w:r>
          </w:p>
          <w:p w:rsidR="00312690" w:rsidRDefault="00312690">
            <w:pPr>
              <w:pStyle w:val="NormalWeb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2690" w:rsidRDefault="00312690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:rsidR="00DB7954" w:rsidRDefault="00DB7954"/>
    <w:sectPr w:rsidR="00DB7954" w:rsidSect="00DB7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690"/>
    <w:rsid w:val="00312690"/>
    <w:rsid w:val="003677B8"/>
    <w:rsid w:val="00742532"/>
    <w:rsid w:val="00DB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26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126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rds.wharton.upenn.edu/ds/comp/se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1333</Characters>
  <Application>Microsoft Office Word</Application>
  <DocSecurity>0</DocSecurity>
  <Lines>11</Lines>
  <Paragraphs>3</Paragraphs>
  <ScaleCrop>false</ScaleCrop>
  <Company> 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Steele</dc:creator>
  <cp:keywords/>
  <dc:description/>
  <cp:lastModifiedBy>Mike Steele</cp:lastModifiedBy>
  <cp:revision>1</cp:revision>
  <dcterms:created xsi:type="dcterms:W3CDTF">2009-02-16T20:07:00Z</dcterms:created>
  <dcterms:modified xsi:type="dcterms:W3CDTF">2009-02-16T20:10:00Z</dcterms:modified>
</cp:coreProperties>
</file>